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rPr>
          <w:kern w:val="0"/>
          <w:sz w:val="30"/>
          <w:szCs w:val="30"/>
        </w:rPr>
      </w:pPr>
    </w:p>
    <w:p>
      <w:pPr>
        <w:pStyle w:val="49"/>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2018年审计经费项目</w:t>
      </w:r>
    </w:p>
    <w:p>
      <w:pPr>
        <w:pStyle w:val="49"/>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塔什库尔干县财政局</w:t>
      </w:r>
    </w:p>
    <w:p>
      <w:pPr>
        <w:pStyle w:val="4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塔什库尔干县人民政府</w:t>
      </w: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30</w:t>
      </w:r>
      <w:r>
        <w:rPr>
          <w:rFonts w:ascii="仿宋_GB2312" w:hAnsi="仿宋_GB2312" w:eastAsia="仿宋_GB2312" w:cs="仿宋_GB2312"/>
          <w:kern w:val="0"/>
          <w:sz w:val="36"/>
          <w:szCs w:val="36"/>
          <w:lang w:val="zh-TW" w:eastAsia="zh-TW"/>
        </w:rPr>
        <w:t>日</w:t>
      </w:r>
    </w:p>
    <w:p>
      <w:pPr>
        <w:pStyle w:val="49"/>
        <w:spacing w:line="700" w:lineRule="exact"/>
        <w:ind w:firstLine="624" w:firstLineChars="200"/>
        <w:jc w:val="left"/>
        <w:rPr>
          <w:rStyle w:val="19"/>
          <w:rFonts w:hint="eastAsia" w:ascii="黑体" w:hAnsi="黑体" w:eastAsia="黑体"/>
          <w:b w:val="0"/>
          <w:spacing w:val="-4"/>
          <w:sz w:val="32"/>
          <w:szCs w:val="32"/>
        </w:rPr>
      </w:pPr>
    </w:p>
    <w:p>
      <w:pPr>
        <w:pStyle w:val="49"/>
        <w:spacing w:line="700" w:lineRule="exact"/>
        <w:ind w:firstLine="624" w:firstLineChars="200"/>
        <w:jc w:val="left"/>
        <w:rPr>
          <w:rStyle w:val="19"/>
          <w:rFonts w:hint="eastAsia" w:ascii="黑体" w:hAnsi="黑体" w:eastAsia="黑体"/>
          <w:b w:val="0"/>
          <w:spacing w:val="-4"/>
          <w:sz w:val="32"/>
          <w:szCs w:val="32"/>
        </w:rPr>
      </w:pPr>
    </w:p>
    <w:p>
      <w:pPr>
        <w:pStyle w:val="49"/>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主要职能：塔什库尔干县财政局职能主要有：全县财政收支、财税政策、实施财政监督、拟定和执行本县政府采购政策、政府非税收入管理、国库管理有关工作、国有资产管理制度、编制年度预决算草案就组织执行等。参与制定我县各项经济等方面政策、法规、研究起草、制定和组织实施我县相关地方性建设工作。</w:t>
      </w:r>
    </w:p>
    <w:p>
      <w:p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机构设置情况</w:t>
      </w:r>
      <w:r>
        <w:rPr>
          <w:rFonts w:hint="eastAsia" w:ascii="仿宋" w:hAnsi="仿宋" w:eastAsia="仿宋" w:cs="仿宋"/>
          <w:sz w:val="32"/>
          <w:szCs w:val="32"/>
          <w:lang w:val="en-US" w:eastAsia="zh-CN"/>
        </w:rPr>
        <w:t>:</w:t>
      </w:r>
      <w:r>
        <w:rPr>
          <w:rFonts w:hint="eastAsia" w:ascii="仿宋" w:hAnsi="仿宋" w:eastAsia="仿宋" w:cs="仿宋"/>
          <w:sz w:val="32"/>
          <w:szCs w:val="32"/>
        </w:rPr>
        <w:t>塔什库尔干县财政局单位性质为行政单位全额拨款，执行会计制度为行政会计制度，独立编制机构2个，内设机构有：塔什库尔干县财政局（本级）、塔什库尔干县工资统发中心、塔什库尔干县政府采购中心。</w:t>
      </w:r>
    </w:p>
    <w:p>
      <w:pPr>
        <w:numPr>
          <w:numId w:val="0"/>
        </w:num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机构人员情况：</w:t>
      </w:r>
      <w:bookmarkStart w:id="0" w:name="_GoBack"/>
      <w:bookmarkEnd w:id="0"/>
      <w:r>
        <w:rPr>
          <w:rFonts w:hint="eastAsia" w:ascii="仿宋" w:hAnsi="仿宋" w:eastAsia="仿宋" w:cs="仿宋"/>
          <w:sz w:val="32"/>
          <w:szCs w:val="32"/>
        </w:rPr>
        <w:t>编制21人（按照编委文件填报），实有在职人数17人，退休0人，属于一般公共预算财政拨款（补助）开支17人，其中：在职17人，退休0人。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对13个乡镇场的所有扶贫资金用2个月时间进行审查，第一个月针对所有账簿进行审查整改，第二月下乡入户走访审查整改资料。</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主要用于2018年审计工作经费息项目。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2018年审计经费项目预算安排总额为16万元，其中财政资金</w:t>
      </w:r>
      <w:r>
        <w:rPr>
          <w:rFonts w:hint="eastAsia" w:ascii="仿宋" w:hAnsi="仿宋" w:eastAsia="仿宋"/>
          <w:bCs/>
          <w:spacing w:val="-4"/>
          <w:sz w:val="32"/>
          <w:szCs w:val="32"/>
          <w:lang w:val="en-US" w:eastAsia="zh-CN"/>
        </w:rPr>
        <w:t>16</w:t>
      </w:r>
      <w:r>
        <w:rPr>
          <w:rFonts w:hint="eastAsia" w:ascii="仿宋" w:hAnsi="仿宋" w:eastAsia="仿宋"/>
          <w:bCs/>
          <w:spacing w:val="-4"/>
          <w:sz w:val="32"/>
          <w:szCs w:val="32"/>
        </w:rPr>
        <w:t>万元，2018年实际收到预算资金16万元。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本项目实际支付资金16万元，预算执行率100.00</w:t>
      </w:r>
      <w:r>
        <w:rPr>
          <w:rFonts w:ascii="仿宋" w:hAnsi="仿宋" w:eastAsia="仿宋"/>
          <w:bCs/>
          <w:spacing w:val="-4"/>
          <w:sz w:val="32"/>
          <w:szCs w:val="32"/>
        </w:rPr>
        <w:t>%</w:t>
      </w:r>
      <w:r>
        <w:rPr>
          <w:rFonts w:hint="eastAsia" w:ascii="仿宋" w:hAnsi="仿宋" w:eastAsia="仿宋"/>
          <w:bCs/>
          <w:spacing w:val="-4"/>
          <w:sz w:val="32"/>
          <w:szCs w:val="32"/>
        </w:rPr>
        <w:t>。项目资金主要用于支付2018年审计经费项目16万元。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新疆喀什地区塔什库尔干县财政国库集中支付相关财务管理制度，符合国家财经法规和财务管理制度以及有关资金管理办法的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实施过程中，塔什库尔干县财政局制定了财政资金要通过集中支付制度，项目的实施遵守相关法律法规和业务管理规定。已建立《财政资金管理制度》，不定期项目实施情况进行核查，及时与第三方机构协调。</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lang w:val="en-US" w:eastAsia="zh-CN"/>
        </w:rPr>
        <w:t>10</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lang w:val="en-US" w:eastAsia="zh-CN"/>
        </w:rPr>
        <w:t>10</w:t>
      </w:r>
      <w:r>
        <w:rPr>
          <w:rFonts w:ascii="仿宋" w:hAnsi="仿宋" w:eastAsia="仿宋"/>
          <w:bCs/>
          <w:spacing w:val="-4"/>
          <w:sz w:val="32"/>
          <w:szCs w:val="32"/>
        </w:rPr>
        <w:t>个</w:t>
      </w:r>
      <w:r>
        <w:rPr>
          <w:rFonts w:hint="eastAsia" w:ascii="仿宋" w:hAnsi="仿宋" w:eastAsia="仿宋"/>
          <w:bCs/>
          <w:spacing w:val="-4"/>
          <w:sz w:val="32"/>
          <w:szCs w:val="32"/>
        </w:rPr>
        <w:t>，指标完成率为100.00%。</w:t>
      </w:r>
    </w:p>
    <w:p>
      <w:pPr>
        <w:adjustRightInd w:val="0"/>
        <w:snapToGrid w:val="0"/>
        <w:spacing w:line="560" w:lineRule="exact"/>
        <w:ind w:firstLine="624" w:firstLineChars="200"/>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经济性：</w:t>
      </w:r>
      <w:r>
        <w:rPr>
          <w:rStyle w:val="19"/>
          <w:rFonts w:hint="eastAsia" w:ascii="仿宋" w:hAnsi="仿宋" w:eastAsia="仿宋"/>
          <w:b w:val="0"/>
          <w:spacing w:val="-4"/>
          <w:sz w:val="32"/>
          <w:szCs w:val="32"/>
          <w:lang w:eastAsia="zh-CN"/>
        </w:rPr>
        <w:t>按</w:t>
      </w:r>
      <w:r>
        <w:rPr>
          <w:rStyle w:val="19"/>
          <w:rFonts w:hint="eastAsia" w:ascii="仿宋" w:hAnsi="仿宋" w:eastAsia="仿宋"/>
          <w:b w:val="0"/>
          <w:spacing w:val="-4"/>
          <w:sz w:val="32"/>
          <w:szCs w:val="32"/>
        </w:rPr>
        <w:t>审计经费标准</w:t>
      </w:r>
      <w:r>
        <w:rPr>
          <w:rStyle w:val="19"/>
          <w:rFonts w:hint="eastAsia" w:ascii="仿宋" w:hAnsi="仿宋" w:eastAsia="仿宋"/>
          <w:b w:val="0"/>
          <w:spacing w:val="-4"/>
          <w:sz w:val="32"/>
          <w:szCs w:val="32"/>
          <w:lang w:eastAsia="zh-CN"/>
        </w:rPr>
        <w:t>支付审计费用，将成本控制在合理范围内。</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效率性：按月按要求完成相应的审查工作。</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效益性：督促乡镇扶贫资金使用规范化。</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hint="eastAsia" w:ascii="仿宋" w:hAnsi="仿宋" w:eastAsia="仿宋"/>
          <w:spacing w:val="-4"/>
          <w:sz w:val="32"/>
          <w:szCs w:val="32"/>
          <w:lang w:eastAsia="zh-CN"/>
        </w:rPr>
        <w:t>分析</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加强县政府各部门和所有事业单位的审计监督工作。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依据实际情况配合完成县政府各部门和所有事业单位的审计监督工作。</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无</w:t>
      </w:r>
      <w:r>
        <w:rPr>
          <w:rFonts w:hint="eastAsia" w:ascii="仿宋" w:hAnsi="仿宋" w:eastAsia="仿宋"/>
          <w:bCs/>
          <w:spacing w:val="-4"/>
          <w:sz w:val="32"/>
          <w:szCs w:val="32"/>
          <w:lang w:eastAsia="zh-CN"/>
        </w:rPr>
        <w:t>。</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合理控制费用成本，充分发挥审计监督作用。</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pStyle w:val="16"/>
        <w:spacing w:before="0" w:beforeAutospacing="0" w:after="0" w:afterAutospacing="0" w:line="528" w:lineRule="atLeast"/>
        <w:ind w:firstLine="480"/>
        <w:jc w:val="both"/>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本次评价通过文件研读、实地调研、数据分析等方式，全面了解22018年审计经费项目资金的使用效率和效果，全年共支出</w:t>
      </w:r>
      <w:r>
        <w:rPr>
          <w:rFonts w:hint="eastAsia" w:ascii="仿宋" w:hAnsi="仿宋" w:eastAsia="仿宋"/>
          <w:bCs/>
          <w:spacing w:val="-4"/>
          <w:sz w:val="32"/>
          <w:szCs w:val="32"/>
        </w:rPr>
        <w:t>16</w:t>
      </w:r>
      <w:r>
        <w:rPr>
          <w:rFonts w:hint="eastAsia" w:ascii="仿宋" w:hAnsi="仿宋" w:eastAsia="仿宋"/>
          <w:spacing w:val="-4"/>
          <w:sz w:val="32"/>
          <w:szCs w:val="32"/>
        </w:rPr>
        <w:t>万元，主要用于13个乡镇场扶贫资金审计支出。</w:t>
      </w:r>
      <w:r>
        <w:rPr>
          <w:rFonts w:hint="eastAsia" w:ascii="仿宋" w:hAnsi="仿宋" w:eastAsia="仿宋" w:cs="仿宋"/>
          <w:color w:val="auto"/>
          <w:spacing w:val="-4"/>
          <w:sz w:val="32"/>
          <w:szCs w:val="32"/>
        </w:rPr>
        <w:t>项目管理过程规范，完成了预期绩效目标。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41C7"/>
    <w:rsid w:val="00033110"/>
    <w:rsid w:val="000926AE"/>
    <w:rsid w:val="000E3540"/>
    <w:rsid w:val="0012208E"/>
    <w:rsid w:val="00135256"/>
    <w:rsid w:val="00164D3F"/>
    <w:rsid w:val="001968CE"/>
    <w:rsid w:val="001A4E1F"/>
    <w:rsid w:val="001A57B9"/>
    <w:rsid w:val="001C3847"/>
    <w:rsid w:val="001D065F"/>
    <w:rsid w:val="001F3031"/>
    <w:rsid w:val="00210A26"/>
    <w:rsid w:val="0023702B"/>
    <w:rsid w:val="002530E4"/>
    <w:rsid w:val="002A2532"/>
    <w:rsid w:val="002A2D76"/>
    <w:rsid w:val="00365250"/>
    <w:rsid w:val="0036624C"/>
    <w:rsid w:val="00385849"/>
    <w:rsid w:val="003F1A98"/>
    <w:rsid w:val="00412E09"/>
    <w:rsid w:val="004B62D3"/>
    <w:rsid w:val="004C7D21"/>
    <w:rsid w:val="004E39D7"/>
    <w:rsid w:val="0050167F"/>
    <w:rsid w:val="00514506"/>
    <w:rsid w:val="005162F1"/>
    <w:rsid w:val="00516E80"/>
    <w:rsid w:val="00535153"/>
    <w:rsid w:val="00550FA0"/>
    <w:rsid w:val="00575CFE"/>
    <w:rsid w:val="00583AFC"/>
    <w:rsid w:val="00592D09"/>
    <w:rsid w:val="00645662"/>
    <w:rsid w:val="00675D58"/>
    <w:rsid w:val="006F2E6D"/>
    <w:rsid w:val="00713B61"/>
    <w:rsid w:val="007218B8"/>
    <w:rsid w:val="00755C6A"/>
    <w:rsid w:val="00780BEB"/>
    <w:rsid w:val="00785FDE"/>
    <w:rsid w:val="00794B84"/>
    <w:rsid w:val="007A0351"/>
    <w:rsid w:val="007A14BC"/>
    <w:rsid w:val="007A438A"/>
    <w:rsid w:val="007C1025"/>
    <w:rsid w:val="007E6845"/>
    <w:rsid w:val="007F5F8A"/>
    <w:rsid w:val="00826CA1"/>
    <w:rsid w:val="00835B7F"/>
    <w:rsid w:val="00855E3A"/>
    <w:rsid w:val="00882985"/>
    <w:rsid w:val="00900EBC"/>
    <w:rsid w:val="0090516C"/>
    <w:rsid w:val="00922CB9"/>
    <w:rsid w:val="009350F7"/>
    <w:rsid w:val="009B526F"/>
    <w:rsid w:val="009B690F"/>
    <w:rsid w:val="009C1AFD"/>
    <w:rsid w:val="009D4BFB"/>
    <w:rsid w:val="00A25D82"/>
    <w:rsid w:val="00A26421"/>
    <w:rsid w:val="00A4293B"/>
    <w:rsid w:val="00A71BA3"/>
    <w:rsid w:val="00A83BD5"/>
    <w:rsid w:val="00A977DF"/>
    <w:rsid w:val="00AD6E40"/>
    <w:rsid w:val="00AE46DC"/>
    <w:rsid w:val="00AE6A23"/>
    <w:rsid w:val="00B06CA5"/>
    <w:rsid w:val="00B10481"/>
    <w:rsid w:val="00B13FCF"/>
    <w:rsid w:val="00B16440"/>
    <w:rsid w:val="00B41F61"/>
    <w:rsid w:val="00B55332"/>
    <w:rsid w:val="00B86E8C"/>
    <w:rsid w:val="00BA1D00"/>
    <w:rsid w:val="00BE1A00"/>
    <w:rsid w:val="00C22CF0"/>
    <w:rsid w:val="00C23E1C"/>
    <w:rsid w:val="00C56C72"/>
    <w:rsid w:val="00C960F2"/>
    <w:rsid w:val="00CA6457"/>
    <w:rsid w:val="00CB38AD"/>
    <w:rsid w:val="00CC4442"/>
    <w:rsid w:val="00CC6E4D"/>
    <w:rsid w:val="00D17F2E"/>
    <w:rsid w:val="00D46194"/>
    <w:rsid w:val="00D50546"/>
    <w:rsid w:val="00D73448"/>
    <w:rsid w:val="00E01293"/>
    <w:rsid w:val="00E027D1"/>
    <w:rsid w:val="00E33ADB"/>
    <w:rsid w:val="00E769FE"/>
    <w:rsid w:val="00EA1A16"/>
    <w:rsid w:val="00EA2CBE"/>
    <w:rsid w:val="00EF3FFA"/>
    <w:rsid w:val="00F32FEE"/>
    <w:rsid w:val="00F53E69"/>
    <w:rsid w:val="0C0915AA"/>
    <w:rsid w:val="1336109A"/>
    <w:rsid w:val="14B51F18"/>
    <w:rsid w:val="1B7E5EF0"/>
    <w:rsid w:val="200C7436"/>
    <w:rsid w:val="30480F78"/>
    <w:rsid w:val="325D4A32"/>
    <w:rsid w:val="34357460"/>
    <w:rsid w:val="418B3166"/>
    <w:rsid w:val="45D41F34"/>
    <w:rsid w:val="519273E4"/>
    <w:rsid w:val="563F36BD"/>
    <w:rsid w:val="5F8A75E6"/>
    <w:rsid w:val="66413ADD"/>
    <w:rsid w:val="67CC2F6C"/>
    <w:rsid w:val="6E245283"/>
    <w:rsid w:val="76D82E8F"/>
    <w:rsid w:val="7831269E"/>
    <w:rsid w:val="7C521F2A"/>
    <w:rsid w:val="7E35684F"/>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7"/>
    <w:unhideWhenUsed/>
    <w:qFormat/>
    <w:uiPriority w:val="99"/>
    <w:rPr>
      <w:rFonts w:ascii="宋体"/>
      <w:sz w:val="18"/>
      <w:szCs w:val="18"/>
    </w:rPr>
  </w:style>
  <w:style w:type="paragraph" w:styleId="12">
    <w:name w:val="Balloon Text"/>
    <w:basedOn w:val="1"/>
    <w:link w:val="48"/>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Template>
  <Company>塔县财政局</Company>
  <Pages>4</Pages>
  <Words>180</Words>
  <Characters>1028</Characters>
  <Lines>8</Lines>
  <Paragraphs>2</Paragraphs>
  <TotalTime>0</TotalTime>
  <ScaleCrop>false</ScaleCrop>
  <LinksUpToDate>false</LinksUpToDate>
  <CharactersWithSpaces>1206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2019-09-21T12:08:24Z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